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1-комн. кв. на длительный срок (от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район ЦАО, Лесная ул., 8А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Белорусская, 2 мин. пешком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90 000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3 / 7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40.0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20.0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10.0 м²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Балк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Балкон</w:t>
                        </w:r>
                      </w:p>
                    </w:tc>
                  </w:tr>
                  <!-- end Балкон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16 мая, 20:56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Юрий Муромцев</w:t>
      </w:r>
    </w:p>
    <!-- offer description -->
    <w:p>
      <w:pPr>
        <w:pStyle w:val="Normal"/>
        <w:spacing w:before="0" w:after="0" w:beforeLines="0" w:afterLines="0"/>
      </w:pPr>
      <w:r>
        <w:t>Без комиссии. Сдается квартира с современным ремонтом рядом с метро белорусская. Просторная комната в светлых нежных тонах совмещена с кухней. Мебель и техника современные. Окна в тихий двор. Просторный балкон. Въезд во двор через ворота. Сдается на длительный срок. не более одного человека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/>
      </w:r>
    </w:p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